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7864D" w14:textId="133FAC13" w:rsidR="008C470A" w:rsidRPr="00E0482D" w:rsidRDefault="008C470A" w:rsidP="00247B16">
      <w:pPr>
        <w:pStyle w:val="ListParagraph"/>
        <w:numPr>
          <w:ilvl w:val="0"/>
          <w:numId w:val="1"/>
        </w:numPr>
        <w:rPr>
          <w:sz w:val="24"/>
        </w:rPr>
      </w:pPr>
      <w:r w:rsidRPr="00E0482D">
        <w:rPr>
          <w:sz w:val="24"/>
        </w:rPr>
        <w:t>Zinbwave</w:t>
      </w:r>
    </w:p>
    <w:p w14:paraId="4BD801A0" w14:textId="77777777" w:rsidR="008C470A" w:rsidRPr="00E0482D" w:rsidRDefault="008C470A" w:rsidP="008C470A">
      <w:pPr>
        <w:pStyle w:val="ListParagraph"/>
        <w:rPr>
          <w:sz w:val="24"/>
        </w:rPr>
      </w:pPr>
      <w:r w:rsidRPr="00E0482D">
        <w:rPr>
          <w:sz w:val="24"/>
        </w:rPr>
        <w:t>Zero-Inflated Negative Binomial Model for RNA-Seq Data:</w:t>
      </w:r>
    </w:p>
    <w:p w14:paraId="38C3462B" w14:textId="77777777" w:rsidR="008C470A" w:rsidRPr="00E0482D" w:rsidRDefault="008C470A" w:rsidP="008C470A">
      <w:pPr>
        <w:pStyle w:val="ListParagraph"/>
        <w:rPr>
          <w:sz w:val="24"/>
        </w:rPr>
      </w:pPr>
      <w:proofErr w:type="gramStart"/>
      <w:r w:rsidRPr="00E0482D">
        <w:rPr>
          <w:sz w:val="24"/>
        </w:rPr>
        <w:t xml:space="preserve">Implements a general and flexible </w:t>
      </w:r>
      <w:r w:rsidRPr="00055A25">
        <w:rPr>
          <w:b/>
          <w:sz w:val="24"/>
        </w:rPr>
        <w:t>zero-inflated negative binomial model</w:t>
      </w:r>
      <w:r w:rsidRPr="00E0482D">
        <w:rPr>
          <w:sz w:val="24"/>
        </w:rPr>
        <w:t xml:space="preserve"> that can be used to </w:t>
      </w:r>
      <w:r w:rsidRPr="0036145A">
        <w:rPr>
          <w:b/>
          <w:sz w:val="24"/>
        </w:rPr>
        <w:t>provide a low-dimensional representation of single-cell RNA-</w:t>
      </w:r>
      <w:proofErr w:type="spellStart"/>
      <w:r w:rsidRPr="0036145A">
        <w:rPr>
          <w:b/>
          <w:sz w:val="24"/>
        </w:rPr>
        <w:t>seq</w:t>
      </w:r>
      <w:proofErr w:type="spellEnd"/>
      <w:r w:rsidRPr="0036145A">
        <w:rPr>
          <w:b/>
          <w:sz w:val="24"/>
        </w:rPr>
        <w:t xml:space="preserve"> data</w:t>
      </w:r>
      <w:r w:rsidRPr="00E0482D">
        <w:rPr>
          <w:sz w:val="24"/>
        </w:rPr>
        <w:t>.</w:t>
      </w:r>
      <w:proofErr w:type="gramEnd"/>
      <w:r w:rsidRPr="00E0482D">
        <w:rPr>
          <w:sz w:val="24"/>
        </w:rPr>
        <w:t xml:space="preserve"> The model accounts for zero inflation (dropouts), over-dispersion, and the count nature of the data. The model also accounts for the difference in library sizes and optionally for batch effects and/or other covariates, avoiding the need for pre-normalize the data.</w:t>
      </w:r>
    </w:p>
    <w:p w14:paraId="3667C0CE" w14:textId="77777777" w:rsidR="008C470A" w:rsidRPr="00E0482D" w:rsidRDefault="00607ACF" w:rsidP="008C470A">
      <w:pPr>
        <w:pStyle w:val="ListParagraph"/>
        <w:rPr>
          <w:sz w:val="24"/>
        </w:rPr>
      </w:pPr>
      <w:hyperlink r:id="rId8" w:history="1">
        <w:r w:rsidR="008C470A" w:rsidRPr="00E0482D">
          <w:rPr>
            <w:rStyle w:val="Hyperlink"/>
            <w:sz w:val="24"/>
          </w:rPr>
          <w:t>https://bioconductor.org/packages/release/bioc/html/zinbwave.html</w:t>
        </w:r>
      </w:hyperlink>
      <w:r w:rsidR="008C470A" w:rsidRPr="00E0482D">
        <w:rPr>
          <w:sz w:val="24"/>
        </w:rPr>
        <w:t xml:space="preserve"> </w:t>
      </w:r>
    </w:p>
    <w:p w14:paraId="6FD13433" w14:textId="563545C2" w:rsidR="008C470A" w:rsidRDefault="008C470A" w:rsidP="008C470A">
      <w:pPr>
        <w:pStyle w:val="ListParagraph"/>
        <w:numPr>
          <w:ilvl w:val="0"/>
          <w:numId w:val="1"/>
        </w:numPr>
        <w:rPr>
          <w:sz w:val="24"/>
        </w:rPr>
      </w:pPr>
      <w:proofErr w:type="spellStart"/>
      <w:r w:rsidRPr="002A5A21">
        <w:rPr>
          <w:sz w:val="24"/>
          <w:highlight w:val="green"/>
        </w:rPr>
        <w:t>Trena</w:t>
      </w:r>
      <w:r>
        <w:rPr>
          <w:sz w:val="24"/>
        </w:rPr>
        <w:t>:</w:t>
      </w:r>
      <w:r w:rsidR="002A5A21">
        <w:rPr>
          <w:sz w:val="24"/>
        </w:rPr>
        <w:t>Asha</w:t>
      </w:r>
      <w:proofErr w:type="spellEnd"/>
    </w:p>
    <w:p w14:paraId="47CC7493" w14:textId="77777777" w:rsidR="008C470A" w:rsidRDefault="008C470A" w:rsidP="008C470A">
      <w:pPr>
        <w:pStyle w:val="ListParagraph"/>
        <w:rPr>
          <w:sz w:val="24"/>
        </w:rPr>
      </w:pPr>
      <w:r w:rsidRPr="009A648B">
        <w:rPr>
          <w:sz w:val="24"/>
        </w:rPr>
        <w:t>Fit transcriptional regulatory networks using gene expression, priors, machine learning</w:t>
      </w:r>
      <w:r>
        <w:rPr>
          <w:sz w:val="24"/>
        </w:rPr>
        <w:t>:</w:t>
      </w:r>
    </w:p>
    <w:p w14:paraId="09A1028C" w14:textId="77777777" w:rsidR="008C470A" w:rsidRDefault="008C470A" w:rsidP="008C470A">
      <w:pPr>
        <w:pStyle w:val="ListParagraph"/>
        <w:rPr>
          <w:sz w:val="24"/>
        </w:rPr>
      </w:pPr>
      <w:r w:rsidRPr="009A648B">
        <w:rPr>
          <w:sz w:val="24"/>
        </w:rPr>
        <w:t>Methods for reconstructing transcriptional regulatory networks, especially in species for which genome-wide TF binding site information is available.</w:t>
      </w:r>
    </w:p>
    <w:p w14:paraId="455C68DD" w14:textId="10194559" w:rsidR="008C470A" w:rsidRDefault="008C470A" w:rsidP="006F71D6">
      <w:pPr>
        <w:pStyle w:val="ListParagraph"/>
        <w:rPr>
          <w:sz w:val="24"/>
        </w:rPr>
      </w:pPr>
      <w:proofErr w:type="spellStart"/>
      <w:r w:rsidRPr="0036145A">
        <w:rPr>
          <w:b/>
          <w:sz w:val="24"/>
        </w:rPr>
        <w:t>TReNA</w:t>
      </w:r>
      <w:proofErr w:type="spellEnd"/>
      <w:r w:rsidRPr="0036145A">
        <w:rPr>
          <w:b/>
          <w:sz w:val="24"/>
        </w:rPr>
        <w:t xml:space="preserve"> </w:t>
      </w:r>
      <w:r w:rsidRPr="009A648B">
        <w:rPr>
          <w:sz w:val="24"/>
        </w:rPr>
        <w:t xml:space="preserve">is a package for </w:t>
      </w:r>
      <w:r w:rsidRPr="00055A25">
        <w:rPr>
          <w:b/>
          <w:sz w:val="24"/>
        </w:rPr>
        <w:t>inferring relationships between target genes and their candidate regulators.</w:t>
      </w:r>
      <w:r w:rsidRPr="009A648B">
        <w:rPr>
          <w:sz w:val="24"/>
        </w:rPr>
        <w:t xml:space="preserve"> By using </w:t>
      </w:r>
      <w:proofErr w:type="spellStart"/>
      <w:r w:rsidRPr="009A648B">
        <w:rPr>
          <w:sz w:val="24"/>
        </w:rPr>
        <w:t>TReNA</w:t>
      </w:r>
      <w:proofErr w:type="spellEnd"/>
      <w:r w:rsidRPr="009A648B">
        <w:rPr>
          <w:sz w:val="24"/>
        </w:rPr>
        <w:t xml:space="preserve">, we can generate hypotheses around regulation of gene expression and enable the construction of gene network models. </w:t>
      </w:r>
    </w:p>
    <w:p w14:paraId="30863FB9" w14:textId="66FF569E" w:rsidR="008C470A" w:rsidRDefault="00607ACF" w:rsidP="008C470A">
      <w:pPr>
        <w:pStyle w:val="ListParagraph"/>
      </w:pPr>
      <w:hyperlink r:id="rId9" w:history="1">
        <w:r w:rsidR="008C470A" w:rsidRPr="00D865A7">
          <w:rPr>
            <w:rStyle w:val="Hyperlink"/>
          </w:rPr>
          <w:t>http://bioconductor.org/packages/release/bioc/vignettes/trena/inst/doc/TReNA_Vignette.html</w:t>
        </w:r>
      </w:hyperlink>
    </w:p>
    <w:p w14:paraId="763A5554" w14:textId="77777777" w:rsidR="008C470A" w:rsidRPr="008C470A" w:rsidRDefault="008C470A" w:rsidP="008C470A">
      <w:pPr>
        <w:numPr>
          <w:ilvl w:val="0"/>
          <w:numId w:val="1"/>
        </w:numPr>
        <w:contextualSpacing/>
        <w:rPr>
          <w:sz w:val="24"/>
        </w:rPr>
      </w:pPr>
      <w:proofErr w:type="spellStart"/>
      <w:r w:rsidRPr="008C470A">
        <w:rPr>
          <w:sz w:val="24"/>
        </w:rPr>
        <w:t>SCnorm</w:t>
      </w:r>
      <w:proofErr w:type="spellEnd"/>
      <w:r w:rsidRPr="008C470A">
        <w:rPr>
          <w:sz w:val="24"/>
        </w:rPr>
        <w:t>: robust normalization of single-cell RNA-</w:t>
      </w:r>
      <w:proofErr w:type="spellStart"/>
      <w:r w:rsidRPr="008C470A">
        <w:rPr>
          <w:sz w:val="24"/>
        </w:rPr>
        <w:t>seq</w:t>
      </w:r>
      <w:proofErr w:type="spellEnd"/>
      <w:r w:rsidRPr="008C470A">
        <w:rPr>
          <w:sz w:val="24"/>
        </w:rPr>
        <w:t xml:space="preserve"> data.</w:t>
      </w:r>
    </w:p>
    <w:p w14:paraId="79607ACC" w14:textId="7FEA53DF" w:rsidR="008C470A" w:rsidRDefault="008C470A" w:rsidP="008C470A">
      <w:pPr>
        <w:pStyle w:val="ListParagraph"/>
      </w:pPr>
      <w:proofErr w:type="spellStart"/>
      <w:r w:rsidRPr="008C470A">
        <w:t>SCnorm</w:t>
      </w:r>
      <w:proofErr w:type="spellEnd"/>
      <w:r w:rsidRPr="008C470A">
        <w:t xml:space="preserve"> groups genes based on their count-depth relationship and within each group applies a quantile regression to estimate scaling factors to remove the effect of sequencing depth from the counts.</w:t>
      </w:r>
    </w:p>
    <w:p w14:paraId="5BA09F53" w14:textId="14A9CC74" w:rsidR="008C470A" w:rsidRDefault="00607ACF" w:rsidP="008C470A">
      <w:pPr>
        <w:pStyle w:val="ListParagraph"/>
      </w:pPr>
      <w:hyperlink r:id="rId10" w:history="1">
        <w:r w:rsidR="008C470A" w:rsidRPr="00D865A7">
          <w:rPr>
            <w:rStyle w:val="Hyperlink"/>
          </w:rPr>
          <w:t>http://bioconductor.org/packages/release/bioc/vignettes/SCnorm/inst/doc/SCnorm.pdf</w:t>
        </w:r>
      </w:hyperlink>
    </w:p>
    <w:p w14:paraId="3E0C3674" w14:textId="02EFA745" w:rsidR="008C470A" w:rsidRPr="008C470A" w:rsidRDefault="008C470A" w:rsidP="008C470A">
      <w:pPr>
        <w:numPr>
          <w:ilvl w:val="0"/>
          <w:numId w:val="1"/>
        </w:numPr>
        <w:contextualSpacing/>
        <w:rPr>
          <w:sz w:val="24"/>
        </w:rPr>
      </w:pPr>
      <w:r w:rsidRPr="002A5A21">
        <w:rPr>
          <w:sz w:val="24"/>
          <w:highlight w:val="yellow"/>
        </w:rPr>
        <w:t>GENIE3</w:t>
      </w:r>
      <w:r w:rsidRPr="008C470A">
        <w:rPr>
          <w:sz w:val="24"/>
        </w:rPr>
        <w:t>:</w:t>
      </w:r>
      <w:r w:rsidR="002A5A21">
        <w:rPr>
          <w:sz w:val="24"/>
        </w:rPr>
        <w:t>Kevin</w:t>
      </w:r>
    </w:p>
    <w:p w14:paraId="7591CD17" w14:textId="77777777" w:rsidR="008C470A" w:rsidRPr="008C470A" w:rsidRDefault="008C470A" w:rsidP="008C470A">
      <w:pPr>
        <w:ind w:left="720"/>
        <w:contextualSpacing/>
        <w:rPr>
          <w:sz w:val="24"/>
        </w:rPr>
      </w:pPr>
      <w:proofErr w:type="spellStart"/>
      <w:r w:rsidRPr="008C470A">
        <w:rPr>
          <w:sz w:val="24"/>
        </w:rPr>
        <w:t>GEne</w:t>
      </w:r>
      <w:proofErr w:type="spellEnd"/>
      <w:r w:rsidRPr="008C470A">
        <w:rPr>
          <w:sz w:val="24"/>
        </w:rPr>
        <w:t xml:space="preserve"> Network Inference with Ensemble of trees:</w:t>
      </w:r>
    </w:p>
    <w:p w14:paraId="4D7A8F61" w14:textId="79B96BB8" w:rsidR="008C470A" w:rsidRDefault="008C470A" w:rsidP="008C470A">
      <w:pPr>
        <w:pStyle w:val="ListParagraph"/>
        <w:rPr>
          <w:sz w:val="24"/>
        </w:rPr>
      </w:pPr>
      <w:r w:rsidRPr="008C470A">
        <w:rPr>
          <w:sz w:val="24"/>
        </w:rPr>
        <w:t>Inferring Regulatory Networks from Expression Data Using Tree-Based Methods</w:t>
      </w:r>
      <w:r w:rsidR="0036145A">
        <w:rPr>
          <w:sz w:val="24"/>
        </w:rPr>
        <w:t>.</w:t>
      </w:r>
    </w:p>
    <w:p w14:paraId="4A312635" w14:textId="066487BE" w:rsidR="008C470A" w:rsidRDefault="008C470A" w:rsidP="008C470A">
      <w:pPr>
        <w:pStyle w:val="ListParagraph"/>
        <w:rPr>
          <w:sz w:val="24"/>
        </w:rPr>
      </w:pPr>
      <w:r w:rsidRPr="00CA6A77">
        <w:rPr>
          <w:sz w:val="24"/>
        </w:rPr>
        <w:t>GENIE3, a new algorithm for the inference of GRNs that was best performer in the DREAM4 In Silico Multifactorial challenge. GENIE3 decomposes the prediction of a regulatory network between p genes into p different regression problems. In each of the regression problems, the expression pattern of one of the genes (target gene) is predicted from the expression patterns of all the other genes (input genes), using tree-based ensemble methods Random Forests or Extra-Trees.</w:t>
      </w:r>
    </w:p>
    <w:p w14:paraId="59B82D88" w14:textId="4EE86A3E" w:rsidR="008C470A" w:rsidRDefault="00607ACF" w:rsidP="008C470A">
      <w:pPr>
        <w:pStyle w:val="ListParagraph"/>
      </w:pPr>
      <w:hyperlink r:id="rId11" w:history="1">
        <w:r w:rsidR="008C470A" w:rsidRPr="00D865A7">
          <w:rPr>
            <w:rStyle w:val="Hyperlink"/>
          </w:rPr>
          <w:t>http://journals.plos.org/plosone/article?id=10.1371/journal.pone.0012776</w:t>
        </w:r>
      </w:hyperlink>
    </w:p>
    <w:p w14:paraId="6315967A" w14:textId="77777777" w:rsidR="008C470A" w:rsidRPr="008C470A" w:rsidRDefault="008C470A" w:rsidP="008C470A">
      <w:pPr>
        <w:numPr>
          <w:ilvl w:val="0"/>
          <w:numId w:val="1"/>
        </w:numPr>
        <w:contextualSpacing/>
        <w:rPr>
          <w:sz w:val="24"/>
        </w:rPr>
      </w:pPr>
      <w:proofErr w:type="spellStart"/>
      <w:r w:rsidRPr="008C470A">
        <w:rPr>
          <w:sz w:val="24"/>
        </w:rPr>
        <w:t>Rexposome</w:t>
      </w:r>
      <w:proofErr w:type="spellEnd"/>
      <w:r w:rsidRPr="008C470A">
        <w:rPr>
          <w:sz w:val="24"/>
        </w:rPr>
        <w:t>:</w:t>
      </w:r>
    </w:p>
    <w:p w14:paraId="4E3AA04F" w14:textId="77777777" w:rsidR="008C470A" w:rsidRPr="008C470A" w:rsidRDefault="008C470A" w:rsidP="008C470A">
      <w:pPr>
        <w:ind w:left="720"/>
        <w:contextualSpacing/>
        <w:rPr>
          <w:sz w:val="24"/>
        </w:rPr>
      </w:pPr>
      <w:r w:rsidRPr="008C470A">
        <w:rPr>
          <w:sz w:val="24"/>
        </w:rPr>
        <w:t>Exposome exploration and outcome data analysis:</w:t>
      </w:r>
    </w:p>
    <w:p w14:paraId="47225F06" w14:textId="29B0D05D" w:rsidR="008C470A" w:rsidRDefault="008C470A" w:rsidP="008C470A">
      <w:pPr>
        <w:pStyle w:val="ListParagraph"/>
      </w:pPr>
      <w:r w:rsidRPr="008C470A">
        <w:t>Package that allows to explore the exposome and to perform association analyses between exposures and health outcomes.</w:t>
      </w:r>
    </w:p>
    <w:p w14:paraId="121D6A70" w14:textId="7AF8C891" w:rsidR="00D820EB" w:rsidRDefault="00D820EB" w:rsidP="00D820EB">
      <w:pPr>
        <w:numPr>
          <w:ilvl w:val="0"/>
          <w:numId w:val="1"/>
        </w:numPr>
        <w:contextualSpacing/>
        <w:rPr>
          <w:sz w:val="24"/>
        </w:rPr>
      </w:pPr>
      <w:r w:rsidRPr="00D820EB">
        <w:rPr>
          <w:sz w:val="24"/>
        </w:rPr>
        <w:t>BISCUIT: Bayesian inference for single-cell clustering and imputing</w:t>
      </w:r>
    </w:p>
    <w:p w14:paraId="30B5369E" w14:textId="77777777" w:rsidR="0036145A" w:rsidRDefault="00676C9B" w:rsidP="0036145A">
      <w:pPr>
        <w:ind w:left="720"/>
        <w:contextualSpacing/>
        <w:rPr>
          <w:sz w:val="24"/>
        </w:rPr>
      </w:pPr>
      <w:r w:rsidRPr="00676C9B">
        <w:rPr>
          <w:sz w:val="24"/>
        </w:rPr>
        <w:t>Provides a method for the iterative normalization and cluster of single-cell gene RNA-</w:t>
      </w:r>
      <w:proofErr w:type="spellStart"/>
      <w:r w:rsidRPr="00676C9B">
        <w:rPr>
          <w:sz w:val="24"/>
        </w:rPr>
        <w:t>seq</w:t>
      </w:r>
      <w:proofErr w:type="spellEnd"/>
      <w:r w:rsidRPr="00676C9B">
        <w:rPr>
          <w:sz w:val="24"/>
        </w:rPr>
        <w:t xml:space="preserve"> expression data. BISCUIT eases clustering of cells based on similar gene expression </w:t>
      </w:r>
      <w:r w:rsidRPr="00676C9B">
        <w:rPr>
          <w:sz w:val="24"/>
        </w:rPr>
        <w:lastRenderedPageBreak/>
        <w:t>after correcting technical variation. The software uses a Bayesian model and employs a model driven by covariance structures for the normalization and the input of data. These functionalities are appropriate to work on tumor heterogeneity and other primary tissue to understand novel cell types.</w:t>
      </w:r>
    </w:p>
    <w:p w14:paraId="4E3CF10B" w14:textId="4109D174" w:rsidR="00676C9B" w:rsidRPr="0036145A" w:rsidRDefault="00607ACF" w:rsidP="0036145A">
      <w:pPr>
        <w:ind w:left="720"/>
        <w:contextualSpacing/>
        <w:rPr>
          <w:sz w:val="24"/>
        </w:rPr>
      </w:pPr>
      <w:hyperlink r:id="rId12" w:history="1">
        <w:r w:rsidR="00676C9B" w:rsidRPr="00D865A7">
          <w:rPr>
            <w:rStyle w:val="Hyperlink"/>
          </w:rPr>
          <w:t>https://bioconductor.org/help/course-materials/2017/BioC2017/Day2/InvitedSpeakers/Biscuit_Azizi.pdf</w:t>
        </w:r>
      </w:hyperlink>
    </w:p>
    <w:p w14:paraId="4E16EF00" w14:textId="77777777" w:rsidR="0036145A" w:rsidRPr="0036145A" w:rsidRDefault="008126DB" w:rsidP="00055A25">
      <w:pPr>
        <w:pStyle w:val="ListParagraph"/>
        <w:numPr>
          <w:ilvl w:val="0"/>
          <w:numId w:val="1"/>
        </w:numPr>
      </w:pPr>
      <w:proofErr w:type="spellStart"/>
      <w:r w:rsidRPr="00CA6A77">
        <w:rPr>
          <w:sz w:val="24"/>
        </w:rPr>
        <w:t>scRNA-seq</w:t>
      </w:r>
      <w:proofErr w:type="spellEnd"/>
      <w:r>
        <w:rPr>
          <w:sz w:val="24"/>
        </w:rPr>
        <w:t>:</w:t>
      </w:r>
      <w:r w:rsidRPr="008126DB">
        <w:t xml:space="preserve"> </w:t>
      </w:r>
      <w:r w:rsidRPr="008126DB">
        <w:rPr>
          <w:sz w:val="24"/>
        </w:rPr>
        <w:t>Single-cell RNA sequencing</w:t>
      </w:r>
    </w:p>
    <w:p w14:paraId="3D0ED83C" w14:textId="49ED75AF" w:rsidR="00676C9B" w:rsidRPr="00055A25" w:rsidRDefault="0036145A" w:rsidP="0036145A">
      <w:pPr>
        <w:pStyle w:val="ListParagraph"/>
      </w:pPr>
      <w:r>
        <w:rPr>
          <w:sz w:val="24"/>
        </w:rPr>
        <w:t>A</w:t>
      </w:r>
      <w:r w:rsidRPr="00CA6A77">
        <w:rPr>
          <w:sz w:val="24"/>
        </w:rPr>
        <w:t xml:space="preserve"> powerful and promising class of high-throughput assays that enable researchers to measure genome-wide transcription levels at the resolution of single cells.</w:t>
      </w:r>
    </w:p>
    <w:p w14:paraId="31665B95" w14:textId="77777777" w:rsidR="00055A25" w:rsidRDefault="00055A25" w:rsidP="00055A25">
      <w:pPr>
        <w:pStyle w:val="ListParagraph"/>
        <w:numPr>
          <w:ilvl w:val="0"/>
          <w:numId w:val="1"/>
        </w:numPr>
        <w:rPr>
          <w:sz w:val="24"/>
        </w:rPr>
      </w:pPr>
      <w:r w:rsidRPr="00247B16">
        <w:rPr>
          <w:sz w:val="24"/>
        </w:rPr>
        <w:t>Leveraging Bioconductor for somatic variant ana</w:t>
      </w:r>
      <w:bookmarkStart w:id="0" w:name="_GoBack"/>
      <w:bookmarkEnd w:id="0"/>
      <w:r w:rsidRPr="00247B16">
        <w:rPr>
          <w:sz w:val="24"/>
        </w:rPr>
        <w:t>lysis of TCGA dat</w:t>
      </w:r>
      <w:r>
        <w:rPr>
          <w:sz w:val="24"/>
        </w:rPr>
        <w:t>a:</w:t>
      </w:r>
    </w:p>
    <w:p w14:paraId="3ED427EA" w14:textId="77777777" w:rsidR="00055A25" w:rsidRDefault="00055A25" w:rsidP="00055A25">
      <w:pPr>
        <w:pStyle w:val="ListParagraph"/>
        <w:rPr>
          <w:sz w:val="24"/>
        </w:rPr>
      </w:pPr>
      <w:r>
        <w:rPr>
          <w:sz w:val="24"/>
        </w:rPr>
        <w:t>This process d</w:t>
      </w:r>
      <w:r w:rsidRPr="00055A25">
        <w:rPr>
          <w:sz w:val="24"/>
        </w:rPr>
        <w:t>emonstrates the use of the Bioconductor </w:t>
      </w:r>
      <w:proofErr w:type="spellStart"/>
      <w:r w:rsidRPr="00055A25">
        <w:rPr>
          <w:sz w:val="24"/>
        </w:rPr>
        <w:fldChar w:fldCharType="begin"/>
      </w:r>
      <w:r w:rsidRPr="00055A25">
        <w:rPr>
          <w:sz w:val="24"/>
        </w:rPr>
        <w:instrText xml:space="preserve"> HYPERLINK "https://bioconductor.org/packages/GenomicDataCommons" </w:instrText>
      </w:r>
      <w:r w:rsidRPr="00055A25">
        <w:rPr>
          <w:sz w:val="24"/>
        </w:rPr>
        <w:fldChar w:fldCharType="separate"/>
      </w:r>
      <w:r w:rsidRPr="00055A25">
        <w:rPr>
          <w:rStyle w:val="Hyperlink"/>
          <w:sz w:val="24"/>
        </w:rPr>
        <w:t>GenomicDataCommons</w:t>
      </w:r>
      <w:proofErr w:type="spellEnd"/>
      <w:r w:rsidRPr="00055A25">
        <w:rPr>
          <w:rStyle w:val="Hyperlink"/>
          <w:sz w:val="24"/>
        </w:rPr>
        <w:t xml:space="preserve"> package</w:t>
      </w:r>
      <w:r w:rsidRPr="00055A25">
        <w:rPr>
          <w:sz w:val="24"/>
        </w:rPr>
        <w:fldChar w:fldCharType="end"/>
      </w:r>
      <w:r w:rsidRPr="00055A25">
        <w:rPr>
          <w:sz w:val="24"/>
        </w:rPr>
        <w:t> to identify and then fetch somatic variant results from the NCI GDC and then provide a high-level assessment of those variants using the </w:t>
      </w:r>
      <w:proofErr w:type="spellStart"/>
      <w:r w:rsidRPr="00055A25">
        <w:rPr>
          <w:sz w:val="24"/>
        </w:rPr>
        <w:fldChar w:fldCharType="begin"/>
      </w:r>
      <w:r w:rsidRPr="00055A25">
        <w:rPr>
          <w:sz w:val="24"/>
        </w:rPr>
        <w:instrText xml:space="preserve"> HYPERLINK "https://bioconductor.org/packages/maftools" </w:instrText>
      </w:r>
      <w:r w:rsidRPr="00055A25">
        <w:rPr>
          <w:sz w:val="24"/>
        </w:rPr>
        <w:fldChar w:fldCharType="separate"/>
      </w:r>
      <w:r w:rsidRPr="00055A25">
        <w:rPr>
          <w:rStyle w:val="Hyperlink"/>
          <w:sz w:val="24"/>
        </w:rPr>
        <w:t>maftools</w:t>
      </w:r>
      <w:proofErr w:type="spellEnd"/>
      <w:r w:rsidRPr="00055A25">
        <w:rPr>
          <w:rStyle w:val="Hyperlink"/>
          <w:sz w:val="24"/>
        </w:rPr>
        <w:t xml:space="preserve"> package</w:t>
      </w:r>
      <w:r w:rsidRPr="00055A25">
        <w:rPr>
          <w:sz w:val="24"/>
        </w:rPr>
        <w:fldChar w:fldCharType="end"/>
      </w:r>
      <w:r w:rsidRPr="00055A25">
        <w:rPr>
          <w:sz w:val="24"/>
        </w:rPr>
        <w:t>.</w:t>
      </w:r>
    </w:p>
    <w:p w14:paraId="6C0C0C1B" w14:textId="77777777" w:rsidR="00055A25" w:rsidRPr="00247B16" w:rsidRDefault="00055A25" w:rsidP="00055A25">
      <w:pPr>
        <w:pStyle w:val="ListParagraph"/>
        <w:rPr>
          <w:sz w:val="24"/>
        </w:rPr>
      </w:pPr>
      <w:r>
        <w:rPr>
          <w:noProof/>
          <w:sz w:val="24"/>
        </w:rPr>
        <w:drawing>
          <wp:anchor distT="0" distB="0" distL="114300" distR="114300" simplePos="0" relativeHeight="251659264" behindDoc="0" locked="0" layoutInCell="1" allowOverlap="1" wp14:anchorId="25394851" wp14:editId="21982378">
            <wp:simplePos x="0" y="0"/>
            <wp:positionH relativeFrom="column">
              <wp:posOffset>1228725</wp:posOffset>
            </wp:positionH>
            <wp:positionV relativeFrom="paragraph">
              <wp:posOffset>254000</wp:posOffset>
            </wp:positionV>
            <wp:extent cx="4196790" cy="2997835"/>
            <wp:effectExtent l="0" t="0" r="0" b="0"/>
            <wp:wrapTopAndBottom/>
            <wp:docPr id="1" name="Picture 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fsummary-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96790" cy="2997835"/>
                    </a:xfrm>
                    <a:prstGeom prst="rect">
                      <a:avLst/>
                    </a:prstGeom>
                  </pic:spPr>
                </pic:pic>
              </a:graphicData>
            </a:graphic>
            <wp14:sizeRelH relativeFrom="page">
              <wp14:pctWidth>0</wp14:pctWidth>
            </wp14:sizeRelH>
            <wp14:sizeRelV relativeFrom="page">
              <wp14:pctHeight>0</wp14:pctHeight>
            </wp14:sizeRelV>
          </wp:anchor>
        </w:drawing>
      </w:r>
    </w:p>
    <w:p w14:paraId="530A377D" w14:textId="1301565B" w:rsidR="0036145A" w:rsidRPr="0036145A" w:rsidRDefault="0036145A" w:rsidP="0036145A">
      <w:pPr>
        <w:numPr>
          <w:ilvl w:val="0"/>
          <w:numId w:val="1"/>
        </w:numPr>
        <w:contextualSpacing/>
        <w:rPr>
          <w:sz w:val="24"/>
        </w:rPr>
      </w:pPr>
      <w:proofErr w:type="spellStart"/>
      <w:r w:rsidRPr="002A5A21">
        <w:rPr>
          <w:sz w:val="24"/>
          <w:highlight w:val="yellow"/>
        </w:rPr>
        <w:t>Phenopath</w:t>
      </w:r>
      <w:proofErr w:type="spellEnd"/>
      <w:r w:rsidRPr="0036145A">
        <w:rPr>
          <w:sz w:val="24"/>
        </w:rPr>
        <w:t>:</w:t>
      </w:r>
      <w:r w:rsidR="002A5A21">
        <w:rPr>
          <w:sz w:val="24"/>
        </w:rPr>
        <w:t xml:space="preserve"> Kevin</w:t>
      </w:r>
    </w:p>
    <w:p w14:paraId="7F3607E4" w14:textId="77777777" w:rsidR="0036145A" w:rsidRDefault="0036145A" w:rsidP="0036145A">
      <w:pPr>
        <w:ind w:left="720"/>
        <w:contextualSpacing/>
        <w:rPr>
          <w:sz w:val="24"/>
        </w:rPr>
      </w:pPr>
      <w:r w:rsidRPr="0036145A">
        <w:rPr>
          <w:sz w:val="24"/>
        </w:rPr>
        <w:t>Genomic trajectories with heterogeneous genetic and environmental backgrounds:</w:t>
      </w:r>
    </w:p>
    <w:p w14:paraId="0B542BDB" w14:textId="49E55D38" w:rsidR="00055A25" w:rsidRPr="0036145A" w:rsidRDefault="0036145A" w:rsidP="0036145A">
      <w:pPr>
        <w:ind w:left="720"/>
        <w:contextualSpacing/>
        <w:rPr>
          <w:sz w:val="24"/>
        </w:rPr>
      </w:pPr>
      <w:proofErr w:type="spellStart"/>
      <w:r w:rsidRPr="0036145A">
        <w:rPr>
          <w:sz w:val="24"/>
        </w:rPr>
        <w:t>PhenoPath</w:t>
      </w:r>
      <w:proofErr w:type="spellEnd"/>
      <w:r w:rsidRPr="0036145A">
        <w:rPr>
          <w:sz w:val="24"/>
        </w:rPr>
        <w:t xml:space="preserve"> infers genomic trajectories (</w:t>
      </w:r>
      <w:proofErr w:type="spellStart"/>
      <w:r w:rsidRPr="0036145A">
        <w:rPr>
          <w:sz w:val="24"/>
        </w:rPr>
        <w:t>pseudotimes</w:t>
      </w:r>
      <w:proofErr w:type="spellEnd"/>
      <w:r w:rsidRPr="0036145A">
        <w:rPr>
          <w:sz w:val="24"/>
        </w:rPr>
        <w:t>) in the presence of heterogeneous genetic and environmental backgrounds and tests for interactions between them.</w:t>
      </w:r>
    </w:p>
    <w:sectPr w:rsidR="00055A25" w:rsidRPr="0036145A">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DE9CC" w14:textId="77777777" w:rsidR="00607ACF" w:rsidRDefault="00607ACF" w:rsidP="006F71D6">
      <w:pPr>
        <w:spacing w:after="0" w:line="240" w:lineRule="auto"/>
      </w:pPr>
      <w:r>
        <w:separator/>
      </w:r>
    </w:p>
  </w:endnote>
  <w:endnote w:type="continuationSeparator" w:id="0">
    <w:p w14:paraId="3E9DEEFB" w14:textId="77777777" w:rsidR="00607ACF" w:rsidRDefault="00607ACF" w:rsidP="006F7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3BF25" w14:textId="77777777" w:rsidR="00607ACF" w:rsidRDefault="00607ACF" w:rsidP="006F71D6">
      <w:pPr>
        <w:spacing w:after="0" w:line="240" w:lineRule="auto"/>
      </w:pPr>
      <w:r>
        <w:separator/>
      </w:r>
    </w:p>
  </w:footnote>
  <w:footnote w:type="continuationSeparator" w:id="0">
    <w:p w14:paraId="0E70E998" w14:textId="77777777" w:rsidR="00607ACF" w:rsidRDefault="00607ACF" w:rsidP="006F71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3EDB5" w14:textId="583A6B6B" w:rsidR="006F71D6" w:rsidRDefault="006F71D6">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DIGEST CLUB</w:t>
    </w:r>
    <w:r>
      <w:rPr>
        <w:rFonts w:asciiTheme="majorHAnsi" w:eastAsiaTheme="majorEastAsia" w:hAnsiTheme="majorHAnsi" w:cstheme="majorBidi"/>
        <w:sz w:val="32"/>
        <w:szCs w:val="32"/>
      </w:rPr>
      <w:tab/>
    </w:r>
    <w:r>
      <w:rPr>
        <w:rFonts w:asciiTheme="majorHAnsi" w:eastAsiaTheme="majorEastAsia" w:hAnsiTheme="majorHAnsi" w:cstheme="majorBidi"/>
        <w:sz w:val="32"/>
        <w:szCs w:val="32"/>
      </w:rPr>
      <w:tab/>
      <w:t>01/30/2018</w:t>
    </w:r>
  </w:p>
  <w:p w14:paraId="468DB904" w14:textId="77777777" w:rsidR="006F71D6" w:rsidRDefault="006F71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95167"/>
    <w:multiLevelType w:val="hybridMultilevel"/>
    <w:tmpl w:val="C928A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0A"/>
    <w:rsid w:val="00055A25"/>
    <w:rsid w:val="00247B16"/>
    <w:rsid w:val="00255E0B"/>
    <w:rsid w:val="002A5A21"/>
    <w:rsid w:val="002D7046"/>
    <w:rsid w:val="0036145A"/>
    <w:rsid w:val="00607ACF"/>
    <w:rsid w:val="00676C9B"/>
    <w:rsid w:val="006F71D6"/>
    <w:rsid w:val="007E1420"/>
    <w:rsid w:val="008126DB"/>
    <w:rsid w:val="008C470A"/>
    <w:rsid w:val="00D820EB"/>
    <w:rsid w:val="00DE5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7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70A"/>
    <w:pPr>
      <w:ind w:left="720"/>
      <w:contextualSpacing/>
    </w:pPr>
  </w:style>
  <w:style w:type="character" w:styleId="Hyperlink">
    <w:name w:val="Hyperlink"/>
    <w:basedOn w:val="DefaultParagraphFont"/>
    <w:uiPriority w:val="99"/>
    <w:unhideWhenUsed/>
    <w:rsid w:val="008C470A"/>
    <w:rPr>
      <w:color w:val="0563C1" w:themeColor="hyperlink"/>
      <w:u w:val="single"/>
    </w:rPr>
  </w:style>
  <w:style w:type="character" w:customStyle="1" w:styleId="UnresolvedMention">
    <w:name w:val="Unresolved Mention"/>
    <w:basedOn w:val="DefaultParagraphFont"/>
    <w:uiPriority w:val="99"/>
    <w:semiHidden/>
    <w:unhideWhenUsed/>
    <w:rsid w:val="008C470A"/>
    <w:rPr>
      <w:color w:val="808080"/>
      <w:shd w:val="clear" w:color="auto" w:fill="E6E6E6"/>
    </w:rPr>
  </w:style>
  <w:style w:type="paragraph" w:styleId="Header">
    <w:name w:val="header"/>
    <w:basedOn w:val="Normal"/>
    <w:link w:val="HeaderChar"/>
    <w:uiPriority w:val="99"/>
    <w:unhideWhenUsed/>
    <w:rsid w:val="006F7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D6"/>
  </w:style>
  <w:style w:type="paragraph" w:styleId="Footer">
    <w:name w:val="footer"/>
    <w:basedOn w:val="Normal"/>
    <w:link w:val="FooterChar"/>
    <w:uiPriority w:val="99"/>
    <w:unhideWhenUsed/>
    <w:rsid w:val="006F7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1D6"/>
  </w:style>
  <w:style w:type="paragraph" w:styleId="BalloonText">
    <w:name w:val="Balloon Text"/>
    <w:basedOn w:val="Normal"/>
    <w:link w:val="BalloonTextChar"/>
    <w:uiPriority w:val="99"/>
    <w:semiHidden/>
    <w:unhideWhenUsed/>
    <w:rsid w:val="006F7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1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70A"/>
    <w:pPr>
      <w:ind w:left="720"/>
      <w:contextualSpacing/>
    </w:pPr>
  </w:style>
  <w:style w:type="character" w:styleId="Hyperlink">
    <w:name w:val="Hyperlink"/>
    <w:basedOn w:val="DefaultParagraphFont"/>
    <w:uiPriority w:val="99"/>
    <w:unhideWhenUsed/>
    <w:rsid w:val="008C470A"/>
    <w:rPr>
      <w:color w:val="0563C1" w:themeColor="hyperlink"/>
      <w:u w:val="single"/>
    </w:rPr>
  </w:style>
  <w:style w:type="character" w:customStyle="1" w:styleId="UnresolvedMention">
    <w:name w:val="Unresolved Mention"/>
    <w:basedOn w:val="DefaultParagraphFont"/>
    <w:uiPriority w:val="99"/>
    <w:semiHidden/>
    <w:unhideWhenUsed/>
    <w:rsid w:val="008C470A"/>
    <w:rPr>
      <w:color w:val="808080"/>
      <w:shd w:val="clear" w:color="auto" w:fill="E6E6E6"/>
    </w:rPr>
  </w:style>
  <w:style w:type="paragraph" w:styleId="Header">
    <w:name w:val="header"/>
    <w:basedOn w:val="Normal"/>
    <w:link w:val="HeaderChar"/>
    <w:uiPriority w:val="99"/>
    <w:unhideWhenUsed/>
    <w:rsid w:val="006F7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D6"/>
  </w:style>
  <w:style w:type="paragraph" w:styleId="Footer">
    <w:name w:val="footer"/>
    <w:basedOn w:val="Normal"/>
    <w:link w:val="FooterChar"/>
    <w:uiPriority w:val="99"/>
    <w:unhideWhenUsed/>
    <w:rsid w:val="006F7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1D6"/>
  </w:style>
  <w:style w:type="paragraph" w:styleId="BalloonText">
    <w:name w:val="Balloon Text"/>
    <w:basedOn w:val="Normal"/>
    <w:link w:val="BalloonTextChar"/>
    <w:uiPriority w:val="99"/>
    <w:semiHidden/>
    <w:unhideWhenUsed/>
    <w:rsid w:val="006F7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1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64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conductor.org/packages/release/bioc/html/zinbwave.html"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ioconductor.org/help/course-materials/2017/BioC2017/Day2/InvitedSpeakers/Biscuit_Azizi.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journals.plos.org/plosone/article?id=10.1371/journal.pone.001277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oconductor.org/packages/release/bioc/vignettes/SCnorm/inst/doc/SCnorm.pdf" TargetMode="External"/><Relationship Id="rId4" Type="http://schemas.openxmlformats.org/officeDocument/2006/relationships/settings" Target="settings.xml"/><Relationship Id="rId9" Type="http://schemas.openxmlformats.org/officeDocument/2006/relationships/hyperlink" Target="http://bioconductor.org/packages/release/bioc/vignettes/trena/inst/doc/TReNA_Vignette.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DIGEST CLUB</dc:title>
  <dc:creator>Tejaswi Alaparthi</dc:creator>
  <cp:lastModifiedBy>Xiaojia  Tang</cp:lastModifiedBy>
  <cp:revision>6</cp:revision>
  <dcterms:created xsi:type="dcterms:W3CDTF">2018-01-29T23:50:00Z</dcterms:created>
  <dcterms:modified xsi:type="dcterms:W3CDTF">2018-02-13T19:03:00Z</dcterms:modified>
</cp:coreProperties>
</file>